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308</w:t>
      </w:r>
    </w:p>
    <w:p>
      <w:r>
        <w:t>Bundesgericht (BGE), 2000-10-26, DE</w:t>
      </w:r>
    </w:p>
    <w:p>
      <w:r>
        <w:rPr>
          <w:b/>
        </w:rPr>
        <w:t xml:space="preserve">Quelle: </w:t>
      </w:r>
      <w:r>
        <w:t>https://mcp.opencaselaw.ch/entscheid/bge_126 V 308</w:t>
      </w:r>
    </w:p>
    <w:p>
      <w:r>
        <w:t>FR: ATF 126 V 308</w:t>
      </w:r>
    </w:p>
    <w:p>
      <w:r>
        <w:t>IT: DTF 126 V 308</w:t>
      </w:r>
    </w:p>
    <w:p>
      <w:pPr>
        <w:pStyle w:val="Heading2"/>
      </w:pPr>
      <w:r>
        <w:t>Regeste</w:t>
      </w:r>
    </w:p>
    <w:p>
      <w:r>
        <w:t>Regeste Art. 2 Abs. 1, Art. 23 und 24 Abs. 1 BVG; Art. 1 Abs. 1 lit. d BVV 2: Bindung der Vorsorgeeinrichtung an die Invaliditätsbemessung der Invalidenversicherung. Für die Beurteilung der Frage, ob sich die Invaliditätsbemessung der Invalidenversicherung als offensichtlich unhaltbar erweist und aus diesem Grund für die Vorsorgeeinrichtung nicht verbindlich ist, muss auf die Aktenlage, wie sie sich den Organen der Invalidenversicherung bei Verfügungserlass präsentierte, abgestellt werden. Nachträglich geltend gemachte Tatsachen oder Beweismittel, welche die Verwaltung nicht von Amtes wegen hätte erheben müssen, sind nur beachtlich, sofern sie von der IV-Stelle im Rahmen einer prozessualen Revision berücksichtigt werden müssten.</w:t>
      </w:r>
    </w:p>
    <w:p>
      <w:pPr>
        <w:pStyle w:val="Heading2"/>
      </w:pPr>
      <w:r>
        <w:t>Erwägungen</w:t>
      </w:r>
    </w:p>
    <w:p>
      <w:r>
        <w:rPr>
          <w:b/>
        </w:rPr>
        <w:t>E. 1</w:t>
      </w:r>
    </w:p>
    <w:p>
      <w:r>
        <w:t>Januar 1999 geltenden Fassung) beziehen, der obligatorischen beruflichen Vorsorge. Nicht der obligatorischen Versicherung unterstellt sind nach Art. 1 Abs. 1 lit. d BVV 2 u.a. Personen, die im Sinne der Invalidenversicherung zu mindestens zwei Dritteln invalid sind. Diese Bestimmung wurde vom Eidg. Versicherungsgericht in BGE 118 V 164 Erw. 4 als gesetzmässig erachtet. Das Reglement für die Personalversicherung der Firma Y AG bestimmt in Art. 3 Abs. 2 lit. c in analoger Weise, dass Personen, die im Sinne der Invalidenversicherung zu mindestens zwei Dritteln invalid sind, nicht versichert sind. Demnach ist dieser Personenkreis bei der Personalversicherung der Firma Y AG auch im überobligatorischen Bereich der beruflichen Vorsorge nicht versichert. Nach der Rechtsprechung sind Vorsorgeeinrichtungen, die ausdrücklich oder unter Hinweis auf das Gesetz vom gleichen Invaliditätsbegriff wie die Invalidenversicherung ausgehen, an die Invaliditätsbemessung der Invalidenversicherungs-Kommission (IV-Stelle) gebunden, wenn diese sich nicht als offensichtlich unhaltbar erweist ( BGE 120 V 108 f. Erw. 3c mit Hinweisen; SZS 1999 S. 129).</w:t>
      </w:r>
    </w:p>
    <w:p>
      <w:r>
        <w:rPr>
          <w:b/>
        </w:rPr>
        <w:t>E. 2</w:t>
      </w:r>
    </w:p>
    <w:p>
      <w:r>
        <w:t>a) Die Vorinstanz hat in Würdigung der medizinischen Akten, namentlich der Berichte des Hausarztes Dr. med. G. vom 3. Juni 1991 und 16. März 1992 sowie des Schlussberichts der Regionalstelle vom 15. Dezember 1992 festgehalten, die Zusprechung einer ganzen Invalidenrente bei einem Invaliditätsgrad von 100% mit Wirkung ab 1. Oktober 1990 gemäss Verfügung vom 16. April 1993 könne angesichts der damaligen Aktenlage und der Angaben des Beschwerdeführers keineswegs als offensichtlich unhaltbar bezeichnet werden. Dieser Auffassung ist beizupflichten. Für die Beurteilung der Frage, ob sich die Invaliditätsbemessung der Invalidenversicherung als offensichtlich unhaltbar erweist, ist auf die Aktenlage, wie sie sich bei Verfügungserlass präsentierte, abzustellen. Nachträglich geltend gemachte Tatsachen oder Beweismittel, welche die Verwaltung nicht von Amtes wegen hätte erheben müssen, sind nicht geeignet, die Invaliditätsbemessung der Invalidenversicherung als offensichtlich unhaltbar erscheinen zu lassen. Dies gilt jedenfalls so lange, als es sich nicht um neue Tatsachen oder Beweismittel handelt, welche zu einer anderen rechtlichen Beurteilung führen und die IV-Stelle, welcher sie unterbreitet werden, verpflichten würden, im Rahmen einer prozessualen Revision ( BGE 122 V 21 Erw. 3a, 138 Erw. 2c, 173 Erw. 4a, 272 Erw. 2) auf die ursprüngliche, formell rechtskräftige Verfügung zurückzukommen. BGE 126 V 308 S. 312 b) Ob die damalige Invalidenversicherungs-Kommission zu einem anderen Ergebnis gelangt wäre, wenn sie Kenntnis davon gehabt hätte, dass der Beschwerdeführer nach Aufgabe der selbstständigen Erwerbstätigkeit ab 1. November 1990 bis 24. Januar 1992, als sein Gesundheitszustand eine massive Verschlechterung erfuhr, als Aussendienstmitarbeiter bei der Firma Y AG tätig war, ist deshalb nicht entscheidend. Denn in der Anmeldung zum Bezug einer Rente der Invalidenversicherung, die der Beschwerdeführer am 25. April 1991 ausfüllte, gab er unter dem Punkt "Hauptbeschäftigung" an, er sei "seit 1979 bis heute" als selbstständiger Geschäftsführer tätig, wobei er ergänzend beifügte, er habe (aus gesundheitlichen Gründen) sein eigenes Geschäft aufgeben müssen. Ein Hinweis darauf, dass er zu jenem Zeitpunkt bereits seit fast einem halben Jahr als Aussendienstmitarbeiter tätig war, findet sich hingegen nirgends. Erwähnt wurde das Anstellungsverhältnis bei der Firma Y AG im Schlussbericht der Regionalstelle vom 15. Dezember 1992; dabei wurde dessen Beginn unrichtig wiedergegeben (1. Februar 1991 statt 1. November 1990). Ferner war von lediglich hälftiger Arbeitsfähigkeit für diese Tätigkeit die Rede. Da die Regionalstelle jedoch festhielt, die Arbeit im Aussendienst sei mit Rücksicht auf den Gesundheitszustand nicht zumutbar, was vom Hausarzt später im Bericht vom 18. Januar 1993 ausdrücklich bestätigt wurde, bestand für die Invalidenversicherungs-Kommission auf Grund des Schlussberichts kein zwingender Anlass, diesbezüglich ergänzende Abklärungen zu treffen. Da der Verwaltung entsprechend den Darlegungen des kantonalen Gerichts, auf welche verwiesen werden kann, keine Verletzung des Untersuchungsgrundsatzes vorzuwerfen, sondern vielmehr von einer krassen Verletzung der Mitwirkungspflicht seitens des Beschwerdeführers auszugehen ist, indem er das Anmeldeformular unvollständig ausfüllte, durfte und musste sich die Invalidenversicherungs-Kommission für die Invaliditätsbemessung auf die ihr seinerzeit zur Verfügung stehenden Unterlagen abstützen. Bezüglich der Arbeit des Beschwerdeführers bei der Firma Y AG kann sodann nicht von einer unverschuldeterweise unbekannt gebliebenen neuen Tatsache gesprochen werden, was nach der Rechtsprechung Voraussetzung für die Anerkennung ihrer prozessualrevisionserheblichen Rechtsnatur ist ( BGE 122 V 273 Erw. 4, BGE 108 V 168 Erw. 2b mit Hinweis). Vielmehr hat es der Beschwerdeführer sich selbst zuzuschreiben, dass er die Invalidenversicherung nicht bereits in der Anmeldung zum Rentenbezug über BGE 126 V 308 S. 313 die am 1. November 1990 aufgenommene Aussendiensttätigkeit in Kenntnis setzte, woran die Einwendungen in der Verwaltungsgerichtsbeschwerde nichts zu ändern vermögen. Sollte er tatsächlich der Auffassung gewesen sein, der Anspruch auf eine Invalidenrente entstehe mit dem Verlust der Arbeitsfähigkeit im bisherigen Beruf, ist nicht ersichtlich, weshalb er durch diesen Irrtum davon abgehalten wurde, das Anmeldeformular vollständig auszufüllen. Abgesehen davon ist der Beschwerdeführer darauf hinzuweisen, dass nach einem allgemeinen Grundsatz niemand Vorteile aus seiner eigenen Rechtsunkenntnis ableiten kann ( BGE 124 V 220 Erw. 2b/aa, BGE 111 V 405 Erw. 3). Mit den weiteren Vorbringen weist der Beschwerdeführer wohl auf gewisse Ungereimtheiten und Unklarheiten im Verwaltungsverfahren der Invalidenversicherung hin, vermag aber nicht zu begründen, weshalb der von der Kommission ermittelte Invaliditätsgrad von 100% ab 1. Oktober 1990 angesichts der Aktenlage bei Verfügungserlass offensichtlich unhaltbar sein soll.</w:t>
      </w:r>
    </w:p>
    <w:p>
      <w:r>
        <w:rPr>
          <w:b/>
        </w:rPr>
        <w:t>E. 3</w:t>
      </w:r>
    </w:p>
    <w:p>
      <w:r>
        <w:t>Ob das Verhalten des Beschwerdeführers, der sich zunächst zum Rentenbezug bei der Invalidenversicherung anmeldete, hernach eine ganze Rente bezog und erst im Zusammenhang mit der Möglichkeit, in den Genuss einer Invalidenrente der Vorsorgeeinrichtung der Y AG zu gelangen, der Invalidenversicherungs-Kommission unkorrektes Vorgehen bei der Abklärung der Anspruchsvoraussetzungen und der Ermittlung des Invaliditätsgrades vorwirft, mit dem kantonalen Gericht als widersprüchlich und treuwidrig (venire contra factum proprium; vgl. dazu BGE 125 III 259 Erw. 2a) bezeichnet werden muss, das keinen Rechtsschutz verdient, kann offen gelassen werden. Denn nach den vorstehenden Erwägungen kann jedenfalls keine Rede davon sein, dass die Invaliditätsbemessung der Invalidenversicherungs-Kommission offensichtlich unhaltbar ist; die Beschwerdegegnerin ist deshalb daran gebunden mit der Folge, dass der Beschwerdeführer nach Art. 1 Abs. 1 lit. d BVV 2 und Art. 3 Abs. 2 lit. c des Reglements für die Personalversicherung der Firma Y AG weder im obligatorischen noch im überobligatorischen Bereich der beruflichen Vorsorge unterstellt ist. Ein Leistungsanspruch entfällt damit.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